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6556" w14:textId="62283909" w:rsidR="00CB72D4" w:rsidRDefault="002F5C3F">
      <w:pPr>
        <w:pStyle w:val="Overskrift1"/>
      </w:pPr>
      <w:r>
        <w:rPr>
          <w:color w:val="1C4587"/>
        </w:rPr>
        <w:t>Kvalitetssikring og selvevaluering</w:t>
      </w:r>
      <w:r w:rsidR="00000000">
        <w:rPr>
          <w:color w:val="1C4587"/>
        </w:rPr>
        <w:t xml:space="preserve"> på </w:t>
      </w:r>
      <w:r w:rsidR="00CD1173">
        <w:rPr>
          <w:color w:val="1C4587"/>
        </w:rPr>
        <w:t>Vestfyns Gymnasium</w:t>
      </w:r>
      <w:r w:rsidR="00B908D3">
        <w:rPr>
          <w:color w:val="1C4587"/>
        </w:rPr>
        <w:t xml:space="preserve"> </w:t>
      </w:r>
    </w:p>
    <w:p w14:paraId="77394970" w14:textId="7431CD0C" w:rsidR="00CB72D4" w:rsidRDefault="00CD1173">
      <w:pPr>
        <w:spacing w:after="160" w:line="259" w:lineRule="auto"/>
        <w:rPr>
          <w:rFonts w:ascii="Calibri" w:eastAsia="Calibri" w:hAnsi="Calibri" w:cs="Calibri"/>
          <w:sz w:val="24"/>
          <w:szCs w:val="24"/>
        </w:rPr>
      </w:pPr>
      <w:r>
        <w:rPr>
          <w:rFonts w:ascii="Calibri" w:eastAsia="Calibri" w:hAnsi="Calibri" w:cs="Calibri"/>
          <w:sz w:val="24"/>
          <w:szCs w:val="24"/>
        </w:rPr>
        <w:t>Vestfyns</w:t>
      </w:r>
      <w:r w:rsidR="00000000">
        <w:rPr>
          <w:rFonts w:ascii="Calibri" w:eastAsia="Calibri" w:hAnsi="Calibri" w:cs="Calibri"/>
          <w:sz w:val="24"/>
          <w:szCs w:val="24"/>
        </w:rPr>
        <w:t xml:space="preserve"> Gymnasium anvender i lighed med andre gymnasiale uddannelser et kvalitetssikringssystem, der skal sikre gode resultater og en fortsat stærk skoleudvikling. Udgangspunktet for kvalitetssikringssystemet er gældende lovgivning på området suppleret med </w:t>
      </w:r>
      <w:r>
        <w:rPr>
          <w:rFonts w:ascii="Calibri" w:eastAsia="Calibri" w:hAnsi="Calibri" w:cs="Calibri"/>
          <w:sz w:val="24"/>
          <w:szCs w:val="24"/>
        </w:rPr>
        <w:t>Vestfyns Gymnasiums</w:t>
      </w:r>
      <w:r w:rsidR="00000000">
        <w:rPr>
          <w:rFonts w:ascii="Calibri" w:eastAsia="Calibri" w:hAnsi="Calibri" w:cs="Calibri"/>
          <w:sz w:val="24"/>
          <w:szCs w:val="24"/>
        </w:rPr>
        <w:t xml:space="preserve"> egen </w:t>
      </w:r>
      <w:r>
        <w:rPr>
          <w:rFonts w:ascii="Calibri" w:eastAsia="Calibri" w:hAnsi="Calibri" w:cs="Calibri"/>
          <w:sz w:val="24"/>
          <w:szCs w:val="24"/>
        </w:rPr>
        <w:t>vision og strategiplan.</w:t>
      </w:r>
      <w:r w:rsidR="004B41E2">
        <w:rPr>
          <w:rFonts w:ascii="Calibri" w:eastAsia="Calibri" w:hAnsi="Calibri" w:cs="Calibri"/>
          <w:sz w:val="24"/>
          <w:szCs w:val="24"/>
        </w:rPr>
        <w:t xml:space="preserve"> Samlet plan over kvalitetssikring på Vestfyns Gymnasium kan se spå hjemmesiden under ”Kvalitet” og særligt fokus for kommende skoleår kan ses i nedenstående oversigt.</w:t>
      </w:r>
    </w:p>
    <w:p w14:paraId="6BC34C8A" w14:textId="77777777" w:rsidR="00CB72D4" w:rsidRDefault="00000000">
      <w:pPr>
        <w:spacing w:after="160" w:line="259" w:lineRule="auto"/>
        <w:rPr>
          <w:rFonts w:ascii="Calibri" w:eastAsia="Calibri" w:hAnsi="Calibri" w:cs="Calibri"/>
          <w:sz w:val="24"/>
          <w:szCs w:val="24"/>
        </w:rPr>
      </w:pPr>
      <w:r>
        <w:rPr>
          <w:rFonts w:ascii="Calibri" w:eastAsia="Calibri" w:hAnsi="Calibri" w:cs="Calibri"/>
          <w:sz w:val="24"/>
          <w:szCs w:val="24"/>
        </w:rPr>
        <w:t>Målet er, at skolens elever skal have den bedste undervisning med gode eksamensresultater til følge, men også at de udvikler sig til livsduelige og engagerede borgere, der med deres mange kompetencer skal kunne agere i en foranderlig verden – lokalt såvel som globalt.</w:t>
      </w:r>
    </w:p>
    <w:p w14:paraId="3E5C37E7" w14:textId="13A77FE3" w:rsidR="00CB72D4" w:rsidRDefault="00000000">
      <w:pPr>
        <w:spacing w:after="160" w:line="259" w:lineRule="auto"/>
        <w:rPr>
          <w:rFonts w:ascii="Calibri" w:eastAsia="Calibri" w:hAnsi="Calibri" w:cs="Calibri"/>
          <w:sz w:val="24"/>
          <w:szCs w:val="24"/>
        </w:rPr>
      </w:pPr>
      <w:r>
        <w:rPr>
          <w:rFonts w:ascii="Calibri" w:eastAsia="Calibri" w:hAnsi="Calibri" w:cs="Calibri"/>
          <w:sz w:val="24"/>
          <w:szCs w:val="24"/>
        </w:rPr>
        <w:t xml:space="preserve">Over en årrække er der derfor på </w:t>
      </w:r>
      <w:r w:rsidR="00CD1173">
        <w:rPr>
          <w:rFonts w:ascii="Calibri" w:eastAsia="Calibri" w:hAnsi="Calibri" w:cs="Calibri"/>
          <w:sz w:val="24"/>
          <w:szCs w:val="24"/>
        </w:rPr>
        <w:t>Vestfyns</w:t>
      </w:r>
      <w:r>
        <w:rPr>
          <w:rFonts w:ascii="Calibri" w:eastAsia="Calibri" w:hAnsi="Calibri" w:cs="Calibri"/>
          <w:sz w:val="24"/>
          <w:szCs w:val="24"/>
        </w:rPr>
        <w:t xml:space="preserve"> Gymnasium opbygget en evalueringskultur gennem individuelle vurderinger, evaluering af undervisningen, elevtrivselsundersøgelser, medarbejdertrivselsundersøgelser og en række evalueringer af de </w:t>
      </w:r>
      <w:r w:rsidR="00CD1173">
        <w:rPr>
          <w:rFonts w:ascii="Calibri" w:eastAsia="Calibri" w:hAnsi="Calibri" w:cs="Calibri"/>
          <w:sz w:val="24"/>
          <w:szCs w:val="24"/>
        </w:rPr>
        <w:t>særlige pædagogiske tiltag og trivselsfremmende initiativer</w:t>
      </w:r>
    </w:p>
    <w:p w14:paraId="72D976CD" w14:textId="4752AA0E" w:rsidR="00CB72D4" w:rsidRDefault="00000000">
      <w:pPr>
        <w:spacing w:after="160" w:line="259" w:lineRule="auto"/>
        <w:rPr>
          <w:rFonts w:ascii="Calibri" w:eastAsia="Calibri" w:hAnsi="Calibri" w:cs="Calibri"/>
          <w:sz w:val="24"/>
          <w:szCs w:val="24"/>
        </w:rPr>
      </w:pPr>
      <w:r>
        <w:rPr>
          <w:rFonts w:ascii="Calibri" w:eastAsia="Calibri" w:hAnsi="Calibri" w:cs="Calibri"/>
          <w:sz w:val="24"/>
          <w:szCs w:val="24"/>
        </w:rPr>
        <w:t xml:space="preserve">Evalueringerne har meget forskellig karakter afhængigt af, hvad der evalueres. Grundlæggende befinder de samlede evalueringerne sig til stadighed mellem udvikling af kvalitet og kontrol af kvalitet. </w:t>
      </w:r>
      <w:r w:rsidR="00CD1173">
        <w:rPr>
          <w:rFonts w:ascii="Calibri" w:eastAsia="Calibri" w:hAnsi="Calibri" w:cs="Calibri"/>
          <w:sz w:val="24"/>
          <w:szCs w:val="24"/>
        </w:rPr>
        <w:t xml:space="preserve">Både </w:t>
      </w:r>
      <w:r>
        <w:rPr>
          <w:rFonts w:ascii="Calibri" w:eastAsia="Calibri" w:hAnsi="Calibri" w:cs="Calibri"/>
          <w:sz w:val="24"/>
          <w:szCs w:val="24"/>
        </w:rPr>
        <w:t>elever og lærere er inddraget i de løbende drøftelser og i opfølgningen.</w:t>
      </w:r>
    </w:p>
    <w:p w14:paraId="1BAF872B" w14:textId="6EC9958E" w:rsidR="00CB72D4" w:rsidRDefault="00000000">
      <w:pPr>
        <w:spacing w:after="160" w:line="259" w:lineRule="auto"/>
        <w:rPr>
          <w:rFonts w:ascii="Calibri" w:eastAsia="Calibri" w:hAnsi="Calibri" w:cs="Calibri"/>
          <w:sz w:val="24"/>
          <w:szCs w:val="24"/>
        </w:rPr>
      </w:pPr>
      <w:r>
        <w:rPr>
          <w:rFonts w:ascii="Calibri" w:eastAsia="Calibri" w:hAnsi="Calibri" w:cs="Calibri"/>
          <w:sz w:val="24"/>
          <w:szCs w:val="24"/>
        </w:rPr>
        <w:t xml:space="preserve">Ledelsen sikrer, at der hvert år i efteråret udarbejdes en selvevaluering, der forelægges bestyrelsen. Selvevalueringen har fokus på de indsatser, som bestyrelsen har fastlagt </w:t>
      </w:r>
      <w:r w:rsidR="00CD1173">
        <w:rPr>
          <w:rFonts w:ascii="Calibri" w:eastAsia="Calibri" w:hAnsi="Calibri" w:cs="Calibri"/>
          <w:sz w:val="24"/>
          <w:szCs w:val="24"/>
        </w:rPr>
        <w:t xml:space="preserve">og godkendt, </w:t>
      </w:r>
      <w:r>
        <w:rPr>
          <w:rFonts w:ascii="Calibri" w:eastAsia="Calibri" w:hAnsi="Calibri" w:cs="Calibri"/>
          <w:sz w:val="24"/>
          <w:szCs w:val="24"/>
        </w:rPr>
        <w:t>men også på de eksakte data vedr. elevernes faglige niveau (løfteevne, gennemførelse, elevernes trivsel og overgang til videregående uddannelser).</w:t>
      </w:r>
    </w:p>
    <w:p w14:paraId="37E1374A" w14:textId="58BEA776" w:rsidR="00CB72D4" w:rsidRDefault="00000000">
      <w:pPr>
        <w:spacing w:after="160" w:line="259" w:lineRule="auto"/>
        <w:rPr>
          <w:rFonts w:ascii="Calibri" w:eastAsia="Calibri" w:hAnsi="Calibri" w:cs="Calibri"/>
          <w:sz w:val="24"/>
          <w:szCs w:val="24"/>
        </w:rPr>
      </w:pPr>
      <w:r>
        <w:rPr>
          <w:rFonts w:ascii="Calibri" w:eastAsia="Calibri" w:hAnsi="Calibri" w:cs="Calibri"/>
          <w:sz w:val="24"/>
          <w:szCs w:val="24"/>
        </w:rPr>
        <w:t xml:space="preserve">Selvevalueringen omfatter tillige evt. indsatsområder </w:t>
      </w:r>
      <w:r w:rsidR="00CD1173">
        <w:rPr>
          <w:rFonts w:ascii="Calibri" w:eastAsia="Calibri" w:hAnsi="Calibri" w:cs="Calibri"/>
          <w:sz w:val="24"/>
          <w:szCs w:val="24"/>
        </w:rPr>
        <w:t>eller videreudvikling af allerede eksisterende projekter</w:t>
      </w:r>
      <w:r w:rsidR="00B6738E">
        <w:rPr>
          <w:rFonts w:ascii="Calibri" w:eastAsia="Calibri" w:hAnsi="Calibri" w:cs="Calibri"/>
          <w:sz w:val="24"/>
          <w:szCs w:val="24"/>
        </w:rPr>
        <w:t xml:space="preserve"> i</w:t>
      </w:r>
      <w:r>
        <w:rPr>
          <w:rFonts w:ascii="Calibri" w:eastAsia="Calibri" w:hAnsi="Calibri" w:cs="Calibri"/>
          <w:sz w:val="24"/>
          <w:szCs w:val="24"/>
        </w:rPr>
        <w:t xml:space="preserve"> forlængelse af selvevalueringen.</w:t>
      </w:r>
    </w:p>
    <w:p w14:paraId="5612F456" w14:textId="18F24173" w:rsidR="00CB72D4" w:rsidRDefault="00000000">
      <w:pPr>
        <w:spacing w:after="160" w:line="259" w:lineRule="auto"/>
        <w:rPr>
          <w:color w:val="1C4587"/>
          <w:sz w:val="28"/>
          <w:szCs w:val="28"/>
        </w:rPr>
      </w:pPr>
      <w:r>
        <w:rPr>
          <w:rFonts w:ascii="Calibri" w:eastAsia="Calibri" w:hAnsi="Calibri" w:cs="Calibri"/>
          <w:sz w:val="24"/>
          <w:szCs w:val="24"/>
        </w:rPr>
        <w:t xml:space="preserve">Selvevalueringsrapporten foreligger fra 2022, mens tidligere tilbagerapportering ikke har været samlet i samme format, i en selvevalueringsrapport, men har været behandlet i bestyrelsen som en tilbagerapportering på temaer i visionen. </w:t>
      </w:r>
    </w:p>
    <w:p w14:paraId="30347B02" w14:textId="77777777" w:rsidR="00CB72D4" w:rsidRDefault="00000000">
      <w:pPr>
        <w:pStyle w:val="Overskrift1"/>
        <w:rPr>
          <w:color w:val="1C4587"/>
          <w:sz w:val="36"/>
          <w:szCs w:val="36"/>
        </w:rPr>
      </w:pPr>
      <w:bookmarkStart w:id="0" w:name="_mhkmwy7h9oyg" w:colFirst="0" w:colLast="0"/>
      <w:bookmarkEnd w:id="0"/>
      <w:r>
        <w:br w:type="page"/>
      </w:r>
    </w:p>
    <w:p w14:paraId="685FC78D" w14:textId="6C067BAF" w:rsidR="00CB72D4" w:rsidRDefault="00000000">
      <w:pPr>
        <w:pStyle w:val="Overskrift1"/>
      </w:pPr>
      <w:bookmarkStart w:id="1" w:name="_6iy0m5fq36wf" w:colFirst="0" w:colLast="0"/>
      <w:bookmarkEnd w:id="1"/>
      <w:r>
        <w:rPr>
          <w:color w:val="1C4587"/>
          <w:sz w:val="36"/>
          <w:szCs w:val="36"/>
        </w:rPr>
        <w:lastRenderedPageBreak/>
        <w:t>Kvalitetssikringsplan</w:t>
      </w:r>
      <w:r w:rsidR="004B41E2">
        <w:rPr>
          <w:color w:val="1C4587"/>
          <w:sz w:val="36"/>
          <w:szCs w:val="36"/>
        </w:rPr>
        <w:t xml:space="preserve"> VG</w:t>
      </w:r>
      <w:r>
        <w:rPr>
          <w:color w:val="1C4587"/>
          <w:sz w:val="36"/>
          <w:szCs w:val="36"/>
        </w:rPr>
        <w:t xml:space="preserve"> 2022-23</w:t>
      </w:r>
      <w:r>
        <w:t xml:space="preserve"> </w:t>
      </w:r>
    </w:p>
    <w:tbl>
      <w:tblPr>
        <w:tblStyle w:val="a"/>
        <w:tblW w:w="1497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3630"/>
        <w:gridCol w:w="2850"/>
        <w:gridCol w:w="3690"/>
        <w:gridCol w:w="3165"/>
      </w:tblGrid>
      <w:tr w:rsidR="00CB72D4" w14:paraId="71155029" w14:textId="77777777">
        <w:trPr>
          <w:jc w:val="center"/>
        </w:trPr>
        <w:tc>
          <w:tcPr>
            <w:tcW w:w="1635" w:type="dxa"/>
            <w:shd w:val="clear" w:color="auto" w:fill="F6B26B"/>
            <w:tcMar>
              <w:top w:w="100" w:type="dxa"/>
              <w:left w:w="100" w:type="dxa"/>
              <w:bottom w:w="100" w:type="dxa"/>
              <w:right w:w="100" w:type="dxa"/>
            </w:tcMar>
          </w:tcPr>
          <w:p w14:paraId="3D776588" w14:textId="77777777" w:rsidR="00CB72D4" w:rsidRDefault="00000000">
            <w:pPr>
              <w:widowControl w:val="0"/>
              <w:spacing w:line="240" w:lineRule="auto"/>
              <w:jc w:val="center"/>
              <w:rPr>
                <w:b/>
                <w:sz w:val="24"/>
                <w:szCs w:val="24"/>
              </w:rPr>
            </w:pPr>
            <w:r>
              <w:rPr>
                <w:b/>
                <w:sz w:val="24"/>
                <w:szCs w:val="24"/>
              </w:rPr>
              <w:t>Indsats-</w:t>
            </w:r>
          </w:p>
          <w:p w14:paraId="287EEF2B" w14:textId="77777777" w:rsidR="00CB72D4" w:rsidRDefault="00000000">
            <w:pPr>
              <w:widowControl w:val="0"/>
              <w:spacing w:line="240" w:lineRule="auto"/>
              <w:jc w:val="center"/>
              <w:rPr>
                <w:b/>
                <w:sz w:val="24"/>
                <w:szCs w:val="24"/>
              </w:rPr>
            </w:pPr>
            <w:r>
              <w:rPr>
                <w:b/>
                <w:sz w:val="24"/>
                <w:szCs w:val="24"/>
              </w:rPr>
              <w:t>område</w:t>
            </w:r>
          </w:p>
        </w:tc>
        <w:tc>
          <w:tcPr>
            <w:tcW w:w="3630" w:type="dxa"/>
            <w:shd w:val="clear" w:color="auto" w:fill="F6B26B"/>
            <w:tcMar>
              <w:top w:w="100" w:type="dxa"/>
              <w:left w:w="100" w:type="dxa"/>
              <w:bottom w:w="100" w:type="dxa"/>
              <w:right w:w="100" w:type="dxa"/>
            </w:tcMar>
          </w:tcPr>
          <w:p w14:paraId="28AA1984" w14:textId="77777777" w:rsidR="00CB72D4" w:rsidRDefault="00000000">
            <w:pPr>
              <w:widowControl w:val="0"/>
              <w:spacing w:line="240" w:lineRule="auto"/>
              <w:jc w:val="center"/>
              <w:rPr>
                <w:b/>
                <w:sz w:val="24"/>
                <w:szCs w:val="24"/>
              </w:rPr>
            </w:pPr>
            <w:r>
              <w:rPr>
                <w:b/>
                <w:sz w:val="24"/>
                <w:szCs w:val="24"/>
              </w:rPr>
              <w:t>Mål</w:t>
            </w:r>
          </w:p>
        </w:tc>
        <w:tc>
          <w:tcPr>
            <w:tcW w:w="2850" w:type="dxa"/>
            <w:shd w:val="clear" w:color="auto" w:fill="F6B26B"/>
            <w:tcMar>
              <w:top w:w="100" w:type="dxa"/>
              <w:left w:w="100" w:type="dxa"/>
              <w:bottom w:w="100" w:type="dxa"/>
              <w:right w:w="100" w:type="dxa"/>
            </w:tcMar>
          </w:tcPr>
          <w:p w14:paraId="20A1AF14" w14:textId="77777777" w:rsidR="00CB72D4" w:rsidRDefault="00000000">
            <w:pPr>
              <w:widowControl w:val="0"/>
              <w:spacing w:line="240" w:lineRule="auto"/>
              <w:jc w:val="center"/>
              <w:rPr>
                <w:b/>
                <w:sz w:val="24"/>
                <w:szCs w:val="24"/>
              </w:rPr>
            </w:pPr>
            <w:r>
              <w:rPr>
                <w:b/>
                <w:sz w:val="24"/>
                <w:szCs w:val="24"/>
              </w:rPr>
              <w:t>Hvordan evalueres?</w:t>
            </w:r>
          </w:p>
        </w:tc>
        <w:tc>
          <w:tcPr>
            <w:tcW w:w="3690" w:type="dxa"/>
            <w:shd w:val="clear" w:color="auto" w:fill="F6B26B"/>
            <w:tcMar>
              <w:top w:w="100" w:type="dxa"/>
              <w:left w:w="100" w:type="dxa"/>
              <w:bottom w:w="100" w:type="dxa"/>
              <w:right w:w="100" w:type="dxa"/>
            </w:tcMar>
          </w:tcPr>
          <w:p w14:paraId="75C648BC" w14:textId="77777777" w:rsidR="00CB72D4" w:rsidRDefault="00000000">
            <w:pPr>
              <w:widowControl w:val="0"/>
              <w:spacing w:line="240" w:lineRule="auto"/>
              <w:jc w:val="center"/>
              <w:rPr>
                <w:b/>
                <w:sz w:val="24"/>
                <w:szCs w:val="24"/>
              </w:rPr>
            </w:pPr>
            <w:r>
              <w:rPr>
                <w:b/>
                <w:sz w:val="24"/>
                <w:szCs w:val="24"/>
              </w:rPr>
              <w:t>Hvornår evalueres?</w:t>
            </w:r>
          </w:p>
        </w:tc>
        <w:tc>
          <w:tcPr>
            <w:tcW w:w="3165" w:type="dxa"/>
            <w:shd w:val="clear" w:color="auto" w:fill="F6B26B"/>
            <w:tcMar>
              <w:top w:w="100" w:type="dxa"/>
              <w:left w:w="100" w:type="dxa"/>
              <w:bottom w:w="100" w:type="dxa"/>
              <w:right w:w="100" w:type="dxa"/>
            </w:tcMar>
          </w:tcPr>
          <w:p w14:paraId="52E15685" w14:textId="77777777" w:rsidR="00CB72D4" w:rsidRDefault="00000000">
            <w:pPr>
              <w:widowControl w:val="0"/>
              <w:spacing w:line="240" w:lineRule="auto"/>
              <w:jc w:val="center"/>
              <w:rPr>
                <w:b/>
                <w:sz w:val="24"/>
                <w:szCs w:val="24"/>
              </w:rPr>
            </w:pPr>
            <w:r>
              <w:rPr>
                <w:b/>
                <w:sz w:val="24"/>
                <w:szCs w:val="24"/>
              </w:rPr>
              <w:t>Opfølgning</w:t>
            </w:r>
          </w:p>
          <w:p w14:paraId="29C120D5" w14:textId="77777777" w:rsidR="00CB72D4" w:rsidRDefault="00CB72D4">
            <w:pPr>
              <w:widowControl w:val="0"/>
              <w:spacing w:line="240" w:lineRule="auto"/>
              <w:rPr>
                <w:b/>
                <w:sz w:val="24"/>
                <w:szCs w:val="24"/>
              </w:rPr>
            </w:pPr>
          </w:p>
        </w:tc>
      </w:tr>
      <w:tr w:rsidR="00CB72D4" w14:paraId="3FBE29E1" w14:textId="77777777">
        <w:trPr>
          <w:trHeight w:val="420"/>
          <w:jc w:val="center"/>
        </w:trPr>
        <w:tc>
          <w:tcPr>
            <w:tcW w:w="1635" w:type="dxa"/>
            <w:vMerge w:val="restart"/>
            <w:shd w:val="clear" w:color="auto" w:fill="F9CB9C"/>
            <w:tcMar>
              <w:top w:w="100" w:type="dxa"/>
              <w:left w:w="100" w:type="dxa"/>
              <w:bottom w:w="100" w:type="dxa"/>
              <w:right w:w="100" w:type="dxa"/>
            </w:tcMar>
            <w:vAlign w:val="center"/>
          </w:tcPr>
          <w:p w14:paraId="59B12B5B" w14:textId="77777777" w:rsidR="00CB72D4" w:rsidRDefault="00000000">
            <w:pPr>
              <w:spacing w:line="240" w:lineRule="auto"/>
            </w:pPr>
            <w:r>
              <w:t>Faglighed</w:t>
            </w:r>
          </w:p>
        </w:tc>
        <w:tc>
          <w:tcPr>
            <w:tcW w:w="3630" w:type="dxa"/>
            <w:shd w:val="clear" w:color="auto" w:fill="F9CB9C"/>
            <w:tcMar>
              <w:top w:w="100" w:type="dxa"/>
              <w:left w:w="100" w:type="dxa"/>
              <w:bottom w:w="100" w:type="dxa"/>
              <w:right w:w="100" w:type="dxa"/>
            </w:tcMar>
            <w:vAlign w:val="center"/>
          </w:tcPr>
          <w:p w14:paraId="7CD922A3" w14:textId="1F2F0CBE" w:rsidR="00CB72D4" w:rsidRDefault="00000000">
            <w:pPr>
              <w:spacing w:line="240" w:lineRule="auto"/>
            </w:pPr>
            <w:r>
              <w:t xml:space="preserve">Undervisningen på </w:t>
            </w:r>
            <w:r w:rsidR="002F6E82">
              <w:t>VG</w:t>
            </w:r>
            <w:r>
              <w:t xml:space="preserve"> motiverer og engagerer den enkelte elev fagligt og studiemæssigt mest muligt</w:t>
            </w:r>
          </w:p>
          <w:p w14:paraId="3112CC97" w14:textId="77777777" w:rsidR="00CB72D4" w:rsidRDefault="00CB72D4">
            <w:pPr>
              <w:spacing w:line="240" w:lineRule="auto"/>
            </w:pPr>
          </w:p>
        </w:tc>
        <w:tc>
          <w:tcPr>
            <w:tcW w:w="2850" w:type="dxa"/>
            <w:shd w:val="clear" w:color="auto" w:fill="F9CB9C"/>
            <w:tcMar>
              <w:top w:w="100" w:type="dxa"/>
              <w:left w:w="100" w:type="dxa"/>
              <w:bottom w:w="100" w:type="dxa"/>
              <w:right w:w="100" w:type="dxa"/>
            </w:tcMar>
          </w:tcPr>
          <w:p w14:paraId="539CA957" w14:textId="77777777" w:rsidR="00CB72D4" w:rsidRDefault="00CB72D4">
            <w:pPr>
              <w:widowControl w:val="0"/>
              <w:spacing w:line="240" w:lineRule="auto"/>
            </w:pPr>
          </w:p>
          <w:p w14:paraId="3C1956AE" w14:textId="77777777" w:rsidR="00CB72D4" w:rsidRDefault="00000000">
            <w:pPr>
              <w:widowControl w:val="0"/>
              <w:spacing w:line="240" w:lineRule="auto"/>
            </w:pPr>
            <w:r>
              <w:t>ETU:  “Læringsmiljø” og “Faglig individuel trivsel”</w:t>
            </w:r>
          </w:p>
          <w:p w14:paraId="331F3684" w14:textId="77777777" w:rsidR="00CB72D4" w:rsidRDefault="00CB72D4">
            <w:pPr>
              <w:widowControl w:val="0"/>
              <w:spacing w:line="240" w:lineRule="auto"/>
              <w:rPr>
                <w:sz w:val="18"/>
                <w:szCs w:val="18"/>
              </w:rPr>
            </w:pPr>
          </w:p>
        </w:tc>
        <w:tc>
          <w:tcPr>
            <w:tcW w:w="3690" w:type="dxa"/>
            <w:shd w:val="clear" w:color="auto" w:fill="F9CB9C"/>
            <w:tcMar>
              <w:top w:w="100" w:type="dxa"/>
              <w:left w:w="100" w:type="dxa"/>
              <w:bottom w:w="100" w:type="dxa"/>
              <w:right w:w="100" w:type="dxa"/>
            </w:tcMar>
          </w:tcPr>
          <w:p w14:paraId="4F7B2F9B" w14:textId="77777777" w:rsidR="00CB72D4" w:rsidRDefault="00000000">
            <w:pPr>
              <w:widowControl w:val="0"/>
              <w:spacing w:line="240" w:lineRule="auto"/>
            </w:pPr>
            <w:r>
              <w:t>Lærerne gennemfører undervisningsevalueringer på alle hold efter hvert forløb</w:t>
            </w:r>
          </w:p>
        </w:tc>
        <w:tc>
          <w:tcPr>
            <w:tcW w:w="3165" w:type="dxa"/>
            <w:shd w:val="clear" w:color="auto" w:fill="F9CB9C"/>
            <w:tcMar>
              <w:top w:w="100" w:type="dxa"/>
              <w:left w:w="100" w:type="dxa"/>
              <w:bottom w:w="100" w:type="dxa"/>
              <w:right w:w="100" w:type="dxa"/>
            </w:tcMar>
          </w:tcPr>
          <w:p w14:paraId="43DE3C5A" w14:textId="76B30431" w:rsidR="00CB72D4" w:rsidRDefault="00000000">
            <w:pPr>
              <w:widowControl w:val="0"/>
              <w:spacing w:line="240" w:lineRule="auto"/>
            </w:pPr>
            <w:r>
              <w:t>Ledelsen og lærer drøfter konkrete eksempler på undervisningsevalueringer i MUS i lærerens refleksioner over undervisningen</w:t>
            </w:r>
            <w:r w:rsidR="002F6E82">
              <w:t>. Derudover er der nedsat en studiekreds med fokus på relationskompetence og dennes anvendelse i klasserumsledelse.</w:t>
            </w:r>
          </w:p>
        </w:tc>
      </w:tr>
      <w:tr w:rsidR="00CB72D4" w14:paraId="1FDE96F7" w14:textId="77777777">
        <w:trPr>
          <w:trHeight w:val="420"/>
          <w:jc w:val="center"/>
        </w:trPr>
        <w:tc>
          <w:tcPr>
            <w:tcW w:w="1635" w:type="dxa"/>
            <w:vMerge/>
            <w:shd w:val="clear" w:color="auto" w:fill="F9CB9C"/>
            <w:tcMar>
              <w:top w:w="100" w:type="dxa"/>
              <w:left w:w="100" w:type="dxa"/>
              <w:bottom w:w="100" w:type="dxa"/>
              <w:right w:w="100" w:type="dxa"/>
            </w:tcMar>
            <w:vAlign w:val="center"/>
          </w:tcPr>
          <w:p w14:paraId="7D5966C4" w14:textId="77777777" w:rsidR="00CB72D4" w:rsidRDefault="00CB72D4">
            <w:pPr>
              <w:spacing w:line="240" w:lineRule="auto"/>
            </w:pPr>
          </w:p>
        </w:tc>
        <w:tc>
          <w:tcPr>
            <w:tcW w:w="3630" w:type="dxa"/>
            <w:shd w:val="clear" w:color="auto" w:fill="F9CB9C"/>
            <w:tcMar>
              <w:top w:w="100" w:type="dxa"/>
              <w:left w:w="100" w:type="dxa"/>
              <w:bottom w:w="100" w:type="dxa"/>
              <w:right w:w="100" w:type="dxa"/>
            </w:tcMar>
            <w:vAlign w:val="center"/>
          </w:tcPr>
          <w:p w14:paraId="69C858B9" w14:textId="7D884661" w:rsidR="00CB72D4" w:rsidRDefault="002F6E82">
            <w:pPr>
              <w:spacing w:line="240" w:lineRule="auto"/>
            </w:pPr>
            <w:r>
              <w:t>VG</w:t>
            </w:r>
            <w:r w:rsidR="00000000">
              <w:t xml:space="preserve"> har en løfteevne på gennemsnittet</w:t>
            </w:r>
          </w:p>
        </w:tc>
        <w:tc>
          <w:tcPr>
            <w:tcW w:w="2850" w:type="dxa"/>
            <w:shd w:val="clear" w:color="auto" w:fill="F9CB9C"/>
            <w:tcMar>
              <w:top w:w="100" w:type="dxa"/>
              <w:left w:w="100" w:type="dxa"/>
              <w:bottom w:w="100" w:type="dxa"/>
              <w:right w:w="100" w:type="dxa"/>
            </w:tcMar>
          </w:tcPr>
          <w:p w14:paraId="4600A439" w14:textId="77777777" w:rsidR="00CB72D4" w:rsidRDefault="00000000">
            <w:pPr>
              <w:widowControl w:val="0"/>
              <w:spacing w:line="240" w:lineRule="auto"/>
            </w:pPr>
            <w:r>
              <w:t>Løfteevne</w:t>
            </w:r>
          </w:p>
        </w:tc>
        <w:tc>
          <w:tcPr>
            <w:tcW w:w="3690" w:type="dxa"/>
            <w:shd w:val="clear" w:color="auto" w:fill="F9CB9C"/>
            <w:tcMar>
              <w:top w:w="100" w:type="dxa"/>
              <w:left w:w="100" w:type="dxa"/>
              <w:bottom w:w="100" w:type="dxa"/>
              <w:right w:w="100" w:type="dxa"/>
            </w:tcMar>
          </w:tcPr>
          <w:p w14:paraId="21A8F194" w14:textId="77777777" w:rsidR="00CB72D4" w:rsidRDefault="00000000">
            <w:pPr>
              <w:widowControl w:val="0"/>
              <w:spacing w:line="240" w:lineRule="auto"/>
            </w:pPr>
            <w:r>
              <w:t>Ministeriet opgør løfteevne en gang årligt</w:t>
            </w:r>
          </w:p>
        </w:tc>
        <w:tc>
          <w:tcPr>
            <w:tcW w:w="3165" w:type="dxa"/>
            <w:shd w:val="clear" w:color="auto" w:fill="F9CB9C"/>
            <w:tcMar>
              <w:top w:w="100" w:type="dxa"/>
              <w:left w:w="100" w:type="dxa"/>
              <w:bottom w:w="100" w:type="dxa"/>
              <w:right w:w="100" w:type="dxa"/>
            </w:tcMar>
          </w:tcPr>
          <w:p w14:paraId="6948908E" w14:textId="2DDF9DBC" w:rsidR="00CB72D4" w:rsidRDefault="00000000">
            <w:pPr>
              <w:widowControl w:val="0"/>
              <w:spacing w:line="240" w:lineRule="auto"/>
            </w:pPr>
            <w:r>
              <w:t>Ledelsen gennemgår løfteevnen og laver indsatser på områder med lav løfteevne</w:t>
            </w:r>
            <w:r w:rsidR="002F6E82">
              <w:t>.</w:t>
            </w:r>
          </w:p>
        </w:tc>
      </w:tr>
      <w:tr w:rsidR="00CB72D4" w14:paraId="2A35BEF9" w14:textId="77777777">
        <w:trPr>
          <w:trHeight w:val="420"/>
          <w:jc w:val="center"/>
        </w:trPr>
        <w:tc>
          <w:tcPr>
            <w:tcW w:w="1635" w:type="dxa"/>
            <w:vMerge/>
            <w:shd w:val="clear" w:color="auto" w:fill="F9CB9C"/>
            <w:tcMar>
              <w:top w:w="100" w:type="dxa"/>
              <w:left w:w="100" w:type="dxa"/>
              <w:bottom w:w="100" w:type="dxa"/>
              <w:right w:w="100" w:type="dxa"/>
            </w:tcMar>
            <w:vAlign w:val="center"/>
          </w:tcPr>
          <w:p w14:paraId="3952537A" w14:textId="77777777" w:rsidR="00CB72D4" w:rsidRDefault="00CB72D4">
            <w:pPr>
              <w:spacing w:line="240" w:lineRule="auto"/>
            </w:pPr>
          </w:p>
        </w:tc>
        <w:tc>
          <w:tcPr>
            <w:tcW w:w="3630" w:type="dxa"/>
            <w:shd w:val="clear" w:color="auto" w:fill="F9CB9C"/>
            <w:tcMar>
              <w:top w:w="100" w:type="dxa"/>
              <w:left w:w="100" w:type="dxa"/>
              <w:bottom w:w="100" w:type="dxa"/>
              <w:right w:w="100" w:type="dxa"/>
            </w:tcMar>
            <w:vAlign w:val="center"/>
          </w:tcPr>
          <w:p w14:paraId="26594FAE" w14:textId="04888988" w:rsidR="00CB72D4" w:rsidRDefault="002F6E82">
            <w:pPr>
              <w:spacing w:line="240" w:lineRule="auto"/>
            </w:pPr>
            <w:proofErr w:type="spellStart"/>
            <w:r>
              <w:t>VG</w:t>
            </w:r>
            <w:r w:rsidR="00000000">
              <w:t>s</w:t>
            </w:r>
            <w:proofErr w:type="spellEnd"/>
            <w:r w:rsidR="00000000">
              <w:t xml:space="preserve"> karakterniveau skal ligge på landsgennemsnittet</w:t>
            </w:r>
          </w:p>
        </w:tc>
        <w:tc>
          <w:tcPr>
            <w:tcW w:w="2850" w:type="dxa"/>
            <w:shd w:val="clear" w:color="auto" w:fill="F9CB9C"/>
            <w:tcMar>
              <w:top w:w="100" w:type="dxa"/>
              <w:left w:w="100" w:type="dxa"/>
              <w:bottom w:w="100" w:type="dxa"/>
              <w:right w:w="100" w:type="dxa"/>
            </w:tcMar>
          </w:tcPr>
          <w:p w14:paraId="39773F8E" w14:textId="7915A2FE" w:rsidR="00CB72D4" w:rsidRDefault="004B41E2">
            <w:pPr>
              <w:widowControl w:val="0"/>
              <w:spacing w:line="240" w:lineRule="auto"/>
            </w:pPr>
            <w:r>
              <w:t>E</w:t>
            </w:r>
            <w:r w:rsidR="002F6E82">
              <w:t>ksamensresultater</w:t>
            </w:r>
          </w:p>
          <w:p w14:paraId="2ECDF30B" w14:textId="77777777" w:rsidR="00CB72D4" w:rsidRDefault="00CB72D4">
            <w:pPr>
              <w:widowControl w:val="0"/>
              <w:spacing w:line="240" w:lineRule="auto"/>
              <w:rPr>
                <w:sz w:val="18"/>
                <w:szCs w:val="18"/>
              </w:rPr>
            </w:pPr>
          </w:p>
        </w:tc>
        <w:tc>
          <w:tcPr>
            <w:tcW w:w="3690" w:type="dxa"/>
            <w:shd w:val="clear" w:color="auto" w:fill="F9CB9C"/>
            <w:tcMar>
              <w:top w:w="100" w:type="dxa"/>
              <w:left w:w="100" w:type="dxa"/>
              <w:bottom w:w="100" w:type="dxa"/>
              <w:right w:w="100" w:type="dxa"/>
            </w:tcMar>
          </w:tcPr>
          <w:p w14:paraId="2DF1B946" w14:textId="77777777" w:rsidR="00CB72D4" w:rsidRDefault="00000000">
            <w:pPr>
              <w:widowControl w:val="0"/>
              <w:spacing w:line="240" w:lineRule="auto"/>
            </w:pPr>
            <w:r>
              <w:t>Eksamen</w:t>
            </w:r>
          </w:p>
          <w:p w14:paraId="2D5D88D3" w14:textId="77777777" w:rsidR="00CB72D4" w:rsidRDefault="00CB72D4">
            <w:pPr>
              <w:widowControl w:val="0"/>
              <w:spacing w:line="240" w:lineRule="auto"/>
              <w:ind w:left="720"/>
            </w:pPr>
          </w:p>
          <w:p w14:paraId="7856CAAF" w14:textId="77777777" w:rsidR="00CB72D4" w:rsidRDefault="00CB72D4">
            <w:pPr>
              <w:widowControl w:val="0"/>
              <w:spacing w:line="240" w:lineRule="auto"/>
            </w:pPr>
          </w:p>
          <w:p w14:paraId="34AA9915" w14:textId="77777777" w:rsidR="00CB72D4" w:rsidRDefault="00CB72D4">
            <w:pPr>
              <w:widowControl w:val="0"/>
              <w:spacing w:line="240" w:lineRule="auto"/>
              <w:ind w:left="720"/>
            </w:pPr>
          </w:p>
          <w:p w14:paraId="0FBF77B3" w14:textId="7667BC56" w:rsidR="00CB72D4" w:rsidRDefault="002F6E82">
            <w:pPr>
              <w:widowControl w:val="0"/>
              <w:spacing w:line="240" w:lineRule="auto"/>
            </w:pPr>
            <w:r>
              <w:t>Rådgivningsmøder</w:t>
            </w:r>
            <w:r w:rsidR="00000000">
              <w:t xml:space="preserve"> i forbindelse med terminskarakterer november, marts og juni</w:t>
            </w:r>
          </w:p>
        </w:tc>
        <w:tc>
          <w:tcPr>
            <w:tcW w:w="3165" w:type="dxa"/>
            <w:shd w:val="clear" w:color="auto" w:fill="F9CB9C"/>
            <w:tcMar>
              <w:top w:w="100" w:type="dxa"/>
              <w:left w:w="100" w:type="dxa"/>
              <w:bottom w:w="100" w:type="dxa"/>
              <w:right w:w="100" w:type="dxa"/>
            </w:tcMar>
          </w:tcPr>
          <w:p w14:paraId="3F5FC2ED" w14:textId="77777777" w:rsidR="00CB72D4" w:rsidRDefault="00000000">
            <w:pPr>
              <w:widowControl w:val="0"/>
              <w:spacing w:line="240" w:lineRule="auto"/>
            </w:pPr>
            <w:r>
              <w:t>Rektor følger op på skolens samlede resultater til eksamen</w:t>
            </w:r>
          </w:p>
          <w:p w14:paraId="57C5E114" w14:textId="77777777" w:rsidR="00CB72D4" w:rsidRDefault="00CB72D4">
            <w:pPr>
              <w:widowControl w:val="0"/>
              <w:spacing w:line="240" w:lineRule="auto"/>
            </w:pPr>
          </w:p>
          <w:p w14:paraId="5D589415" w14:textId="47D321AE" w:rsidR="00CB72D4" w:rsidRDefault="00000000">
            <w:pPr>
              <w:widowControl w:val="0"/>
              <w:spacing w:line="240" w:lineRule="auto"/>
            </w:pPr>
            <w:r>
              <w:t>STV</w:t>
            </w:r>
            <w:r w:rsidR="002F6E82">
              <w:t xml:space="preserve">, </w:t>
            </w:r>
            <w:r>
              <w:t>team</w:t>
            </w:r>
            <w:r w:rsidR="002F6E82">
              <w:t xml:space="preserve"> og ledelse</w:t>
            </w:r>
            <w:r>
              <w:t xml:space="preserve"> følger op på de enkelte elever på </w:t>
            </w:r>
            <w:r w:rsidR="002F6E82">
              <w:t xml:space="preserve">rådgivningsmøderne. </w:t>
            </w:r>
          </w:p>
        </w:tc>
      </w:tr>
      <w:tr w:rsidR="00CB72D4" w14:paraId="00EF3D8C" w14:textId="77777777">
        <w:trPr>
          <w:trHeight w:val="420"/>
          <w:jc w:val="center"/>
        </w:trPr>
        <w:tc>
          <w:tcPr>
            <w:tcW w:w="1635" w:type="dxa"/>
            <w:vMerge/>
            <w:shd w:val="clear" w:color="auto" w:fill="F9CB9C"/>
            <w:tcMar>
              <w:top w:w="100" w:type="dxa"/>
              <w:left w:w="100" w:type="dxa"/>
              <w:bottom w:w="100" w:type="dxa"/>
              <w:right w:w="100" w:type="dxa"/>
            </w:tcMar>
            <w:vAlign w:val="center"/>
          </w:tcPr>
          <w:p w14:paraId="6AEC2C06" w14:textId="77777777" w:rsidR="00CB72D4" w:rsidRDefault="00CB72D4">
            <w:pPr>
              <w:spacing w:line="240" w:lineRule="auto"/>
            </w:pPr>
          </w:p>
        </w:tc>
        <w:tc>
          <w:tcPr>
            <w:tcW w:w="3630" w:type="dxa"/>
            <w:shd w:val="clear" w:color="auto" w:fill="F9CB9C"/>
            <w:tcMar>
              <w:top w:w="100" w:type="dxa"/>
              <w:left w:w="100" w:type="dxa"/>
              <w:bottom w:w="100" w:type="dxa"/>
              <w:right w:w="100" w:type="dxa"/>
            </w:tcMar>
            <w:vAlign w:val="center"/>
          </w:tcPr>
          <w:p w14:paraId="0161CCA8" w14:textId="35DB9981" w:rsidR="00CB72D4" w:rsidRDefault="00000000">
            <w:pPr>
              <w:spacing w:line="240" w:lineRule="auto"/>
            </w:pPr>
            <w:r>
              <w:t xml:space="preserve">Lærerne udvikler og opdaterer løbende deres kompetencer som undervisere, så de bedst muligt medvirker til at sikre det faglige niveau på </w:t>
            </w:r>
            <w:r w:rsidR="002F6E82">
              <w:t>VG</w:t>
            </w:r>
          </w:p>
        </w:tc>
        <w:tc>
          <w:tcPr>
            <w:tcW w:w="2850" w:type="dxa"/>
            <w:shd w:val="clear" w:color="auto" w:fill="F9CB9C"/>
            <w:tcMar>
              <w:top w:w="100" w:type="dxa"/>
              <w:left w:w="100" w:type="dxa"/>
              <w:bottom w:w="100" w:type="dxa"/>
              <w:right w:w="100" w:type="dxa"/>
            </w:tcMar>
          </w:tcPr>
          <w:p w14:paraId="1FF500DB" w14:textId="77777777" w:rsidR="00CB72D4" w:rsidRDefault="00000000">
            <w:pPr>
              <w:widowControl w:val="0"/>
              <w:spacing w:line="240" w:lineRule="auto"/>
            </w:pPr>
            <w:r>
              <w:t>MUS</w:t>
            </w:r>
          </w:p>
          <w:p w14:paraId="152E9167" w14:textId="77777777" w:rsidR="00CB72D4" w:rsidRDefault="00CB72D4">
            <w:pPr>
              <w:widowControl w:val="0"/>
              <w:spacing w:line="240" w:lineRule="auto"/>
            </w:pPr>
          </w:p>
          <w:p w14:paraId="368CD21B" w14:textId="77777777" w:rsidR="00CB72D4" w:rsidRDefault="00CB72D4">
            <w:pPr>
              <w:widowControl w:val="0"/>
              <w:spacing w:line="240" w:lineRule="auto"/>
            </w:pPr>
          </w:p>
          <w:p w14:paraId="69D80C69" w14:textId="29F79410" w:rsidR="00CB72D4" w:rsidRDefault="00000000">
            <w:pPr>
              <w:widowControl w:val="0"/>
              <w:spacing w:line="240" w:lineRule="auto"/>
            </w:pPr>
            <w:r>
              <w:t>Lærerdeltagelse i efteruddannelse</w:t>
            </w:r>
            <w:r w:rsidR="002F6E82">
              <w:t xml:space="preserve">, fagkurser </w:t>
            </w:r>
            <w:r w:rsidR="002F6E82">
              <w:lastRenderedPageBreak/>
              <w:t xml:space="preserve">og lokale </w:t>
            </w:r>
            <w:r>
              <w:t>udvik</w:t>
            </w:r>
            <w:r w:rsidR="002F6E82">
              <w:t>l</w:t>
            </w:r>
            <w:r>
              <w:t>ingsprojekter</w:t>
            </w:r>
            <w:r w:rsidR="002F6E82">
              <w:t xml:space="preserve"> </w:t>
            </w:r>
          </w:p>
        </w:tc>
        <w:tc>
          <w:tcPr>
            <w:tcW w:w="3690" w:type="dxa"/>
            <w:shd w:val="clear" w:color="auto" w:fill="F9CB9C"/>
            <w:tcMar>
              <w:top w:w="100" w:type="dxa"/>
              <w:left w:w="100" w:type="dxa"/>
              <w:bottom w:w="100" w:type="dxa"/>
              <w:right w:w="100" w:type="dxa"/>
            </w:tcMar>
          </w:tcPr>
          <w:p w14:paraId="2061011F" w14:textId="00DEC75F" w:rsidR="00CB72D4" w:rsidRDefault="00000000">
            <w:pPr>
              <w:widowControl w:val="0"/>
              <w:spacing w:line="240" w:lineRule="auto"/>
            </w:pPr>
            <w:r>
              <w:lastRenderedPageBreak/>
              <w:t xml:space="preserve">Nærmeste leder </w:t>
            </w:r>
            <w:r w:rsidRPr="004B41E2">
              <w:t xml:space="preserve">afholder MUS </w:t>
            </w:r>
            <w:r w:rsidR="002F6E82" w:rsidRPr="004B41E2">
              <w:t>hver</w:t>
            </w:r>
            <w:r w:rsidR="004B41E2">
              <w:t xml:space="preserve">t </w:t>
            </w:r>
            <w:r w:rsidR="002F6E82" w:rsidRPr="004B41E2">
              <w:t>år</w:t>
            </w:r>
          </w:p>
          <w:p w14:paraId="4474C818" w14:textId="77777777" w:rsidR="00CB72D4" w:rsidRDefault="00CB72D4">
            <w:pPr>
              <w:widowControl w:val="0"/>
              <w:spacing w:line="240" w:lineRule="auto"/>
            </w:pPr>
          </w:p>
          <w:p w14:paraId="120A1E7C" w14:textId="2395E860" w:rsidR="00CB72D4" w:rsidRDefault="00CB72D4">
            <w:pPr>
              <w:widowControl w:val="0"/>
              <w:spacing w:line="240" w:lineRule="auto"/>
            </w:pPr>
          </w:p>
        </w:tc>
        <w:tc>
          <w:tcPr>
            <w:tcW w:w="3165" w:type="dxa"/>
            <w:shd w:val="clear" w:color="auto" w:fill="F9CB9C"/>
            <w:tcMar>
              <w:top w:w="100" w:type="dxa"/>
              <w:left w:w="100" w:type="dxa"/>
              <w:bottom w:w="100" w:type="dxa"/>
              <w:right w:w="100" w:type="dxa"/>
            </w:tcMar>
          </w:tcPr>
          <w:p w14:paraId="4033090E" w14:textId="77777777" w:rsidR="00CB72D4" w:rsidRDefault="00000000">
            <w:pPr>
              <w:widowControl w:val="0"/>
              <w:spacing w:line="240" w:lineRule="auto"/>
            </w:pPr>
            <w:r>
              <w:t>Ledelsen følger op på MUS og i de faggrupper, de er nærmeste ledere for</w:t>
            </w:r>
          </w:p>
        </w:tc>
      </w:tr>
      <w:tr w:rsidR="00CB72D4" w14:paraId="15BD9934" w14:textId="77777777">
        <w:trPr>
          <w:trHeight w:val="970"/>
          <w:jc w:val="center"/>
        </w:trPr>
        <w:tc>
          <w:tcPr>
            <w:tcW w:w="1635" w:type="dxa"/>
            <w:vMerge w:val="restart"/>
            <w:shd w:val="clear" w:color="auto" w:fill="FCE5CD"/>
            <w:tcMar>
              <w:top w:w="100" w:type="dxa"/>
              <w:left w:w="100" w:type="dxa"/>
              <w:bottom w:w="100" w:type="dxa"/>
              <w:right w:w="100" w:type="dxa"/>
            </w:tcMar>
            <w:vAlign w:val="center"/>
          </w:tcPr>
          <w:p w14:paraId="7518E711" w14:textId="77777777" w:rsidR="00CB72D4" w:rsidRDefault="00000000">
            <w:pPr>
              <w:spacing w:line="240" w:lineRule="auto"/>
            </w:pPr>
            <w:r>
              <w:lastRenderedPageBreak/>
              <w:t>Trivsel</w:t>
            </w:r>
          </w:p>
        </w:tc>
        <w:tc>
          <w:tcPr>
            <w:tcW w:w="3630" w:type="dxa"/>
            <w:vMerge w:val="restart"/>
            <w:shd w:val="clear" w:color="auto" w:fill="FCE5CD"/>
            <w:tcMar>
              <w:top w:w="100" w:type="dxa"/>
              <w:left w:w="100" w:type="dxa"/>
              <w:bottom w:w="100" w:type="dxa"/>
              <w:right w:w="100" w:type="dxa"/>
            </w:tcMar>
            <w:vAlign w:val="center"/>
          </w:tcPr>
          <w:p w14:paraId="576574C1" w14:textId="68D515B6" w:rsidR="00CB72D4" w:rsidRDefault="002F6E82">
            <w:pPr>
              <w:spacing w:line="240" w:lineRule="auto"/>
            </w:pPr>
            <w:r>
              <w:t>VG</w:t>
            </w:r>
            <w:r w:rsidR="00000000">
              <w:t>-Elevernes trivsel skal minimum ligge på landsgennemsnittet</w:t>
            </w:r>
            <w:r>
              <w:t xml:space="preserve"> og gerne matche eller overgå sidste års resultat</w:t>
            </w:r>
          </w:p>
        </w:tc>
        <w:tc>
          <w:tcPr>
            <w:tcW w:w="2850" w:type="dxa"/>
            <w:shd w:val="clear" w:color="auto" w:fill="FCE5CD"/>
            <w:tcMar>
              <w:top w:w="100" w:type="dxa"/>
              <w:left w:w="100" w:type="dxa"/>
              <w:bottom w:w="100" w:type="dxa"/>
              <w:right w:w="100" w:type="dxa"/>
            </w:tcMar>
          </w:tcPr>
          <w:p w14:paraId="6A3D05F9" w14:textId="77777777" w:rsidR="00CB72D4" w:rsidRDefault="00000000">
            <w:pPr>
              <w:widowControl w:val="0"/>
              <w:spacing w:line="240" w:lineRule="auto"/>
            </w:pPr>
            <w:r>
              <w:t>ETU kvantitativ undersøgelse</w:t>
            </w:r>
          </w:p>
        </w:tc>
        <w:tc>
          <w:tcPr>
            <w:tcW w:w="3690" w:type="dxa"/>
            <w:shd w:val="clear" w:color="auto" w:fill="FCE5CD"/>
            <w:tcMar>
              <w:top w:w="100" w:type="dxa"/>
              <w:left w:w="100" w:type="dxa"/>
              <w:bottom w:w="100" w:type="dxa"/>
              <w:right w:w="100" w:type="dxa"/>
            </w:tcMar>
          </w:tcPr>
          <w:p w14:paraId="421B16F2" w14:textId="77777777" w:rsidR="00CB72D4" w:rsidRDefault="00000000">
            <w:pPr>
              <w:widowControl w:val="0"/>
              <w:spacing w:line="240" w:lineRule="auto"/>
            </w:pPr>
            <w:r>
              <w:t xml:space="preserve">ETU en gang årligt </w:t>
            </w:r>
          </w:p>
        </w:tc>
        <w:tc>
          <w:tcPr>
            <w:tcW w:w="3165" w:type="dxa"/>
            <w:shd w:val="clear" w:color="auto" w:fill="FCE5CD"/>
            <w:tcMar>
              <w:top w:w="100" w:type="dxa"/>
              <w:left w:w="100" w:type="dxa"/>
              <w:bottom w:w="100" w:type="dxa"/>
              <w:right w:w="100" w:type="dxa"/>
            </w:tcMar>
          </w:tcPr>
          <w:p w14:paraId="244C1490" w14:textId="77777777" w:rsidR="00CB72D4" w:rsidRDefault="00000000">
            <w:pPr>
              <w:widowControl w:val="0"/>
              <w:spacing w:line="240" w:lineRule="auto"/>
            </w:pPr>
            <w:r>
              <w:t>Ledelsesopfølgning på skoleniveau</w:t>
            </w:r>
          </w:p>
        </w:tc>
      </w:tr>
      <w:tr w:rsidR="00CB72D4" w14:paraId="2060CC5A" w14:textId="77777777">
        <w:trPr>
          <w:trHeight w:val="420"/>
          <w:jc w:val="center"/>
        </w:trPr>
        <w:tc>
          <w:tcPr>
            <w:tcW w:w="1635" w:type="dxa"/>
            <w:vMerge/>
            <w:shd w:val="clear" w:color="auto" w:fill="FCE5CD"/>
            <w:tcMar>
              <w:top w:w="100" w:type="dxa"/>
              <w:left w:w="100" w:type="dxa"/>
              <w:bottom w:w="100" w:type="dxa"/>
              <w:right w:w="100" w:type="dxa"/>
            </w:tcMar>
            <w:vAlign w:val="center"/>
          </w:tcPr>
          <w:p w14:paraId="25AB1EE8" w14:textId="77777777" w:rsidR="00CB72D4" w:rsidRDefault="00CB72D4">
            <w:pPr>
              <w:spacing w:line="240" w:lineRule="auto"/>
            </w:pPr>
          </w:p>
        </w:tc>
        <w:tc>
          <w:tcPr>
            <w:tcW w:w="3630" w:type="dxa"/>
            <w:vMerge/>
            <w:shd w:val="clear" w:color="auto" w:fill="FCE5CD"/>
            <w:tcMar>
              <w:top w:w="100" w:type="dxa"/>
              <w:left w:w="100" w:type="dxa"/>
              <w:bottom w:w="100" w:type="dxa"/>
              <w:right w:w="100" w:type="dxa"/>
            </w:tcMar>
            <w:vAlign w:val="center"/>
          </w:tcPr>
          <w:p w14:paraId="30CD7AE8" w14:textId="77777777" w:rsidR="00CB72D4" w:rsidRDefault="00CB72D4">
            <w:pPr>
              <w:spacing w:line="240" w:lineRule="auto"/>
            </w:pPr>
          </w:p>
        </w:tc>
        <w:tc>
          <w:tcPr>
            <w:tcW w:w="2850" w:type="dxa"/>
            <w:shd w:val="clear" w:color="auto" w:fill="FCE5CD"/>
            <w:tcMar>
              <w:top w:w="100" w:type="dxa"/>
              <w:left w:w="100" w:type="dxa"/>
              <w:bottom w:w="100" w:type="dxa"/>
              <w:right w:w="100" w:type="dxa"/>
            </w:tcMar>
          </w:tcPr>
          <w:p w14:paraId="55F0DAD7" w14:textId="77B868F0" w:rsidR="00CB72D4" w:rsidRDefault="002F5C3F">
            <w:pPr>
              <w:widowControl w:val="0"/>
              <w:spacing w:line="240" w:lineRule="auto"/>
            </w:pPr>
            <w:r>
              <w:t>Evaluering af ETU</w:t>
            </w:r>
            <w:r w:rsidR="004B41E2">
              <w:t xml:space="preserve"> i en </w:t>
            </w:r>
            <w:r>
              <w:t>opfølgningstime</w:t>
            </w:r>
            <w:r w:rsidR="004B41E2">
              <w:t xml:space="preserve"> afholdt af klassen team.</w:t>
            </w:r>
          </w:p>
        </w:tc>
        <w:tc>
          <w:tcPr>
            <w:tcW w:w="3690" w:type="dxa"/>
            <w:shd w:val="clear" w:color="auto" w:fill="FCE5CD"/>
            <w:tcMar>
              <w:top w:w="100" w:type="dxa"/>
              <w:left w:w="100" w:type="dxa"/>
              <w:bottom w:w="100" w:type="dxa"/>
              <w:right w:w="100" w:type="dxa"/>
            </w:tcMar>
          </w:tcPr>
          <w:p w14:paraId="14084BAA" w14:textId="4818D776" w:rsidR="00CB72D4" w:rsidRDefault="002F5C3F">
            <w:pPr>
              <w:widowControl w:val="0"/>
              <w:spacing w:line="240" w:lineRule="auto"/>
            </w:pPr>
            <w:r>
              <w:t xml:space="preserve">Team melder tilbage til nærmeste leder i forhold til om opfølgningen har </w:t>
            </w:r>
            <w:r w:rsidR="004B41E2">
              <w:t>fungeret og de evt. tiltag som klassen er blevet enige om.</w:t>
            </w:r>
          </w:p>
          <w:p w14:paraId="1D4B7F45" w14:textId="77777777" w:rsidR="00CB72D4" w:rsidRDefault="00CB72D4">
            <w:pPr>
              <w:widowControl w:val="0"/>
              <w:spacing w:line="240" w:lineRule="auto"/>
            </w:pPr>
          </w:p>
        </w:tc>
        <w:tc>
          <w:tcPr>
            <w:tcW w:w="3165" w:type="dxa"/>
            <w:shd w:val="clear" w:color="auto" w:fill="FCE5CD"/>
            <w:tcMar>
              <w:top w:w="100" w:type="dxa"/>
              <w:left w:w="100" w:type="dxa"/>
              <w:bottom w:w="100" w:type="dxa"/>
              <w:right w:w="100" w:type="dxa"/>
            </w:tcMar>
          </w:tcPr>
          <w:p w14:paraId="745E2A9E" w14:textId="189722A4" w:rsidR="00CB72D4" w:rsidRDefault="002F6E82">
            <w:pPr>
              <w:widowControl w:val="0"/>
              <w:spacing w:line="240" w:lineRule="auto"/>
            </w:pPr>
            <w:r>
              <w:t>Ledelse og STV følger sammen op på de elever der har et højt fravær</w:t>
            </w:r>
          </w:p>
          <w:p w14:paraId="5B95E436" w14:textId="77777777" w:rsidR="00CB72D4" w:rsidRDefault="00CB72D4">
            <w:pPr>
              <w:widowControl w:val="0"/>
              <w:spacing w:line="240" w:lineRule="auto"/>
            </w:pPr>
          </w:p>
        </w:tc>
      </w:tr>
      <w:tr w:rsidR="00CB72D4" w14:paraId="02F64EC2" w14:textId="77777777">
        <w:trPr>
          <w:trHeight w:val="420"/>
          <w:jc w:val="center"/>
        </w:trPr>
        <w:tc>
          <w:tcPr>
            <w:tcW w:w="1635" w:type="dxa"/>
            <w:vMerge/>
            <w:shd w:val="clear" w:color="auto" w:fill="FCE5CD"/>
            <w:tcMar>
              <w:top w:w="100" w:type="dxa"/>
              <w:left w:w="100" w:type="dxa"/>
              <w:bottom w:w="100" w:type="dxa"/>
              <w:right w:w="100" w:type="dxa"/>
            </w:tcMar>
            <w:vAlign w:val="center"/>
          </w:tcPr>
          <w:p w14:paraId="3C8C5F47" w14:textId="77777777" w:rsidR="00CB72D4" w:rsidRDefault="00CB72D4">
            <w:pPr>
              <w:spacing w:line="240" w:lineRule="auto"/>
            </w:pPr>
          </w:p>
        </w:tc>
        <w:tc>
          <w:tcPr>
            <w:tcW w:w="3630" w:type="dxa"/>
            <w:shd w:val="clear" w:color="auto" w:fill="FCE5CD"/>
            <w:tcMar>
              <w:top w:w="100" w:type="dxa"/>
              <w:left w:w="100" w:type="dxa"/>
              <w:bottom w:w="100" w:type="dxa"/>
              <w:right w:w="100" w:type="dxa"/>
            </w:tcMar>
            <w:vAlign w:val="center"/>
          </w:tcPr>
          <w:p w14:paraId="703004AD" w14:textId="5EF95652" w:rsidR="00CB72D4" w:rsidRDefault="00000000">
            <w:pPr>
              <w:spacing w:line="240" w:lineRule="auto"/>
            </w:pPr>
            <w:r>
              <w:t>Frafaldet</w:t>
            </w:r>
            <w:r w:rsidR="002F6E82">
              <w:t xml:space="preserve"> på VG</w:t>
            </w:r>
            <w:r>
              <w:t xml:space="preserve"> skal maksimalt ligge på landsgennemsnittet.</w:t>
            </w:r>
          </w:p>
        </w:tc>
        <w:tc>
          <w:tcPr>
            <w:tcW w:w="2850" w:type="dxa"/>
            <w:shd w:val="clear" w:color="auto" w:fill="FCE5CD"/>
            <w:tcMar>
              <w:top w:w="100" w:type="dxa"/>
              <w:left w:w="100" w:type="dxa"/>
              <w:bottom w:w="100" w:type="dxa"/>
              <w:right w:w="100" w:type="dxa"/>
            </w:tcMar>
          </w:tcPr>
          <w:p w14:paraId="7D305189" w14:textId="77777777" w:rsidR="00CB72D4" w:rsidRDefault="00000000">
            <w:pPr>
              <w:widowControl w:val="0"/>
              <w:spacing w:line="240" w:lineRule="auto"/>
            </w:pPr>
            <w:r>
              <w:t>Fravær og frafald</w:t>
            </w:r>
          </w:p>
        </w:tc>
        <w:tc>
          <w:tcPr>
            <w:tcW w:w="3690" w:type="dxa"/>
            <w:shd w:val="clear" w:color="auto" w:fill="FCE5CD"/>
            <w:tcMar>
              <w:top w:w="100" w:type="dxa"/>
              <w:left w:w="100" w:type="dxa"/>
              <w:bottom w:w="100" w:type="dxa"/>
              <w:right w:w="100" w:type="dxa"/>
            </w:tcMar>
          </w:tcPr>
          <w:p w14:paraId="41B4FC2A" w14:textId="77777777" w:rsidR="00CB72D4" w:rsidRDefault="00000000">
            <w:pPr>
              <w:widowControl w:val="0"/>
              <w:spacing w:line="240" w:lineRule="auto"/>
            </w:pPr>
            <w:r>
              <w:t>Fravær og frafald for foregående skoleår opgøres til bestyrelsesmødet i september</w:t>
            </w:r>
          </w:p>
        </w:tc>
        <w:tc>
          <w:tcPr>
            <w:tcW w:w="3165" w:type="dxa"/>
            <w:shd w:val="clear" w:color="auto" w:fill="FCE5CD"/>
            <w:tcMar>
              <w:top w:w="100" w:type="dxa"/>
              <w:left w:w="100" w:type="dxa"/>
              <w:bottom w:w="100" w:type="dxa"/>
              <w:right w:w="100" w:type="dxa"/>
            </w:tcMar>
          </w:tcPr>
          <w:p w14:paraId="573AB9CA" w14:textId="77777777" w:rsidR="00CB72D4" w:rsidRDefault="00000000">
            <w:pPr>
              <w:widowControl w:val="0"/>
              <w:spacing w:line="240" w:lineRule="auto"/>
            </w:pPr>
            <w:r>
              <w:t>Ledelsen i samarbejde med studievejlederne</w:t>
            </w:r>
          </w:p>
        </w:tc>
      </w:tr>
      <w:tr w:rsidR="00CB72D4" w14:paraId="3BACD309" w14:textId="77777777">
        <w:trPr>
          <w:trHeight w:val="420"/>
          <w:jc w:val="center"/>
        </w:trPr>
        <w:tc>
          <w:tcPr>
            <w:tcW w:w="1635" w:type="dxa"/>
            <w:vMerge w:val="restart"/>
            <w:shd w:val="clear" w:color="auto" w:fill="FCE5CD"/>
            <w:tcMar>
              <w:top w:w="100" w:type="dxa"/>
              <w:left w:w="100" w:type="dxa"/>
              <w:bottom w:w="100" w:type="dxa"/>
              <w:right w:w="100" w:type="dxa"/>
            </w:tcMar>
            <w:vAlign w:val="center"/>
          </w:tcPr>
          <w:p w14:paraId="30996FC8" w14:textId="77777777" w:rsidR="00CB72D4" w:rsidRDefault="00000000">
            <w:pPr>
              <w:spacing w:line="240" w:lineRule="auto"/>
            </w:pPr>
            <w:r>
              <w:t>Almen dannelse</w:t>
            </w:r>
          </w:p>
        </w:tc>
        <w:tc>
          <w:tcPr>
            <w:tcW w:w="3630" w:type="dxa"/>
            <w:vMerge w:val="restart"/>
            <w:shd w:val="clear" w:color="auto" w:fill="FCE5CD"/>
            <w:tcMar>
              <w:top w:w="100" w:type="dxa"/>
              <w:left w:w="100" w:type="dxa"/>
              <w:bottom w:w="100" w:type="dxa"/>
              <w:right w:w="100" w:type="dxa"/>
            </w:tcMar>
            <w:vAlign w:val="center"/>
          </w:tcPr>
          <w:p w14:paraId="09621A42" w14:textId="666F106B" w:rsidR="00CB72D4" w:rsidRDefault="00000000">
            <w:pPr>
              <w:widowControl w:val="0"/>
              <w:spacing w:line="240" w:lineRule="auto"/>
            </w:pPr>
            <w:r>
              <w:t xml:space="preserve">Eleverne på </w:t>
            </w:r>
            <w:r w:rsidR="004B41E2">
              <w:t>VG</w:t>
            </w:r>
            <w:r>
              <w:t xml:space="preserve"> udvikler sig til livsduelige og engagerede individer</w:t>
            </w:r>
            <w:r w:rsidR="002F6E82">
              <w:t xml:space="preserve"> gennem undervisningen og gennem særlige dannelsesmoduler udviklet specielt til alle 3 årgange</w:t>
            </w:r>
          </w:p>
        </w:tc>
        <w:tc>
          <w:tcPr>
            <w:tcW w:w="2850" w:type="dxa"/>
            <w:shd w:val="clear" w:color="auto" w:fill="FCE5CD"/>
            <w:tcMar>
              <w:top w:w="100" w:type="dxa"/>
              <w:left w:w="100" w:type="dxa"/>
              <w:bottom w:w="100" w:type="dxa"/>
              <w:right w:w="100" w:type="dxa"/>
            </w:tcMar>
          </w:tcPr>
          <w:p w14:paraId="13961E36" w14:textId="06A489EA" w:rsidR="00CB72D4" w:rsidRDefault="00CB72D4">
            <w:pPr>
              <w:widowControl w:val="0"/>
              <w:spacing w:line="240" w:lineRule="auto"/>
            </w:pPr>
          </w:p>
        </w:tc>
        <w:tc>
          <w:tcPr>
            <w:tcW w:w="3690" w:type="dxa"/>
            <w:shd w:val="clear" w:color="auto" w:fill="FCE5CD"/>
            <w:tcMar>
              <w:top w:w="100" w:type="dxa"/>
              <w:left w:w="100" w:type="dxa"/>
              <w:bottom w:w="100" w:type="dxa"/>
              <w:right w:w="100" w:type="dxa"/>
            </w:tcMar>
          </w:tcPr>
          <w:p w14:paraId="0111B4FE" w14:textId="449CC7C2" w:rsidR="00CB72D4" w:rsidRDefault="00000000">
            <w:pPr>
              <w:widowControl w:val="0"/>
              <w:spacing w:line="240" w:lineRule="auto"/>
            </w:pPr>
            <w:r>
              <w:t xml:space="preserve">På </w:t>
            </w:r>
            <w:r w:rsidR="004B41E2">
              <w:t>PR-møder hvor der også deltager elever og i bestyrelsen</w:t>
            </w:r>
          </w:p>
        </w:tc>
        <w:tc>
          <w:tcPr>
            <w:tcW w:w="3165" w:type="dxa"/>
            <w:shd w:val="clear" w:color="auto" w:fill="FCE5CD"/>
            <w:tcMar>
              <w:top w:w="100" w:type="dxa"/>
              <w:left w:w="100" w:type="dxa"/>
              <w:bottom w:w="100" w:type="dxa"/>
              <w:right w:w="100" w:type="dxa"/>
            </w:tcMar>
          </w:tcPr>
          <w:p w14:paraId="1F5930AB" w14:textId="77777777" w:rsidR="00CB72D4" w:rsidRDefault="00000000">
            <w:pPr>
              <w:widowControl w:val="0"/>
              <w:spacing w:line="240" w:lineRule="auto"/>
            </w:pPr>
            <w:r>
              <w:t>Teamleder følger op i samarbejde med klassens øvrige lærere og elevteamet</w:t>
            </w:r>
          </w:p>
        </w:tc>
      </w:tr>
      <w:tr w:rsidR="00CB72D4" w14:paraId="606764DD" w14:textId="77777777">
        <w:trPr>
          <w:trHeight w:val="420"/>
          <w:jc w:val="center"/>
        </w:trPr>
        <w:tc>
          <w:tcPr>
            <w:tcW w:w="1635" w:type="dxa"/>
            <w:vMerge/>
            <w:shd w:val="clear" w:color="auto" w:fill="FCE5CD"/>
            <w:tcMar>
              <w:top w:w="100" w:type="dxa"/>
              <w:left w:w="100" w:type="dxa"/>
              <w:bottom w:w="100" w:type="dxa"/>
              <w:right w:w="100" w:type="dxa"/>
            </w:tcMar>
            <w:vAlign w:val="center"/>
          </w:tcPr>
          <w:p w14:paraId="7028C71D" w14:textId="77777777" w:rsidR="00CB72D4" w:rsidRDefault="00CB72D4">
            <w:pPr>
              <w:spacing w:line="240" w:lineRule="auto"/>
            </w:pPr>
          </w:p>
        </w:tc>
        <w:tc>
          <w:tcPr>
            <w:tcW w:w="3630" w:type="dxa"/>
            <w:vMerge/>
            <w:shd w:val="clear" w:color="auto" w:fill="FCE5CD"/>
            <w:tcMar>
              <w:top w:w="100" w:type="dxa"/>
              <w:left w:w="100" w:type="dxa"/>
              <w:bottom w:w="100" w:type="dxa"/>
              <w:right w:w="100" w:type="dxa"/>
            </w:tcMar>
            <w:vAlign w:val="center"/>
          </w:tcPr>
          <w:p w14:paraId="676B8697" w14:textId="77777777" w:rsidR="00CB72D4" w:rsidRDefault="00CB72D4">
            <w:pPr>
              <w:widowControl w:val="0"/>
              <w:spacing w:line="240" w:lineRule="auto"/>
            </w:pPr>
          </w:p>
        </w:tc>
        <w:tc>
          <w:tcPr>
            <w:tcW w:w="2850" w:type="dxa"/>
            <w:shd w:val="clear" w:color="auto" w:fill="FCE5CD"/>
            <w:tcMar>
              <w:top w:w="100" w:type="dxa"/>
              <w:left w:w="100" w:type="dxa"/>
              <w:bottom w:w="100" w:type="dxa"/>
              <w:right w:w="100" w:type="dxa"/>
            </w:tcMar>
          </w:tcPr>
          <w:p w14:paraId="23172DCB" w14:textId="54DD8066" w:rsidR="00CB72D4" w:rsidRDefault="00000000">
            <w:pPr>
              <w:widowControl w:val="0"/>
              <w:spacing w:line="240" w:lineRule="auto"/>
            </w:pPr>
            <w:r>
              <w:t xml:space="preserve">Deltagelse i </w:t>
            </w:r>
            <w:r w:rsidR="002F6E82">
              <w:t xml:space="preserve">skolens liv </w:t>
            </w:r>
            <w:r w:rsidR="003F3748">
              <w:t xml:space="preserve">og aktiviteter </w:t>
            </w:r>
            <w:r w:rsidR="002F6E82">
              <w:t>udover undervisningen</w:t>
            </w:r>
          </w:p>
        </w:tc>
        <w:tc>
          <w:tcPr>
            <w:tcW w:w="3690" w:type="dxa"/>
            <w:shd w:val="clear" w:color="auto" w:fill="FCE5CD"/>
            <w:tcMar>
              <w:top w:w="100" w:type="dxa"/>
              <w:left w:w="100" w:type="dxa"/>
              <w:bottom w:w="100" w:type="dxa"/>
              <w:right w:w="100" w:type="dxa"/>
            </w:tcMar>
          </w:tcPr>
          <w:p w14:paraId="4E6953FF" w14:textId="77777777" w:rsidR="00CB72D4" w:rsidRDefault="00000000">
            <w:pPr>
              <w:widowControl w:val="0"/>
              <w:spacing w:line="240" w:lineRule="auto"/>
            </w:pPr>
            <w:r>
              <w:t xml:space="preserve">Antallet af </w:t>
            </w:r>
            <w:r w:rsidR="002F6E82">
              <w:t>elevbærende aktiviteter</w:t>
            </w:r>
            <w:r>
              <w:t xml:space="preserve"> og deltagelse i disse</w:t>
            </w:r>
            <w:r w:rsidR="003F3748">
              <w:t>.</w:t>
            </w:r>
          </w:p>
          <w:p w14:paraId="4B447D8B" w14:textId="5093BA92" w:rsidR="003F3748" w:rsidRDefault="003F3748">
            <w:pPr>
              <w:widowControl w:val="0"/>
              <w:spacing w:line="240" w:lineRule="auto"/>
            </w:pPr>
          </w:p>
        </w:tc>
        <w:tc>
          <w:tcPr>
            <w:tcW w:w="3165" w:type="dxa"/>
            <w:shd w:val="clear" w:color="auto" w:fill="FCE5CD"/>
            <w:tcMar>
              <w:top w:w="100" w:type="dxa"/>
              <w:left w:w="100" w:type="dxa"/>
              <w:bottom w:w="100" w:type="dxa"/>
              <w:right w:w="100" w:type="dxa"/>
            </w:tcMar>
          </w:tcPr>
          <w:p w14:paraId="1D910B33" w14:textId="77777777" w:rsidR="00CB72D4" w:rsidRDefault="00000000">
            <w:pPr>
              <w:widowControl w:val="0"/>
              <w:spacing w:line="240" w:lineRule="auto"/>
            </w:pPr>
            <w:r>
              <w:t>Ledelse opgør en gang årligt deltagelse i elevorganisationer</w:t>
            </w:r>
          </w:p>
        </w:tc>
      </w:tr>
    </w:tbl>
    <w:p w14:paraId="79955B1B" w14:textId="77777777" w:rsidR="00CB72D4" w:rsidRDefault="00CB72D4"/>
    <w:p w14:paraId="71D51F6E" w14:textId="0AC57DCF" w:rsidR="00CB72D4" w:rsidRDefault="00000000">
      <w:r>
        <w:t>Særlige pædagogiske indsatsområder</w:t>
      </w:r>
      <w:r w:rsidR="002F5C3F">
        <w:t xml:space="preserve"> præsenteret for bestyrelsen i januar 2023 </w:t>
      </w:r>
      <w:r>
        <w:t>evalueres særskilt.</w:t>
      </w:r>
    </w:p>
    <w:p w14:paraId="1823AC49" w14:textId="77777777" w:rsidR="00CB72D4" w:rsidRDefault="00CB72D4"/>
    <w:p w14:paraId="2B952099" w14:textId="77777777" w:rsidR="00CB72D4" w:rsidRDefault="00CB72D4"/>
    <w:p w14:paraId="51445225" w14:textId="77777777" w:rsidR="003F3748" w:rsidRDefault="003F3748">
      <w:pPr>
        <w:pStyle w:val="Overskrift1"/>
      </w:pPr>
      <w:bookmarkStart w:id="2" w:name="_tr6axzozxflu" w:colFirst="0" w:colLast="0"/>
      <w:bookmarkEnd w:id="2"/>
    </w:p>
    <w:p w14:paraId="1EA59535" w14:textId="53A202B0" w:rsidR="00CB72D4" w:rsidRDefault="00000000">
      <w:pPr>
        <w:pStyle w:val="Overskrift1"/>
      </w:pPr>
      <w:r>
        <w:t>Afrapportering til bestyrelsen</w:t>
      </w:r>
      <w:r w:rsidR="00B908D3">
        <w:t xml:space="preserve"> </w:t>
      </w:r>
    </w:p>
    <w:p w14:paraId="5159C1D5" w14:textId="5C753EAC" w:rsidR="00CB72D4" w:rsidRDefault="00000000">
      <w:r>
        <w:t>På bestyrelsesmødet i september</w:t>
      </w:r>
      <w:r w:rsidR="002F5C3F">
        <w:t xml:space="preserve"> 2023</w:t>
      </w:r>
      <w:r>
        <w:t xml:space="preserve"> fremlægges resultater af kvalitetssikring</w:t>
      </w:r>
      <w:r w:rsidR="00B6738E">
        <w:t>splan</w:t>
      </w:r>
      <w:r>
        <w:t xml:space="preserve"> for det </w:t>
      </w:r>
      <w:r w:rsidR="00B6738E">
        <w:t>nuværende</w:t>
      </w:r>
      <w:r>
        <w:t xml:space="preserve"> skoleår.</w:t>
      </w:r>
    </w:p>
    <w:p w14:paraId="7B6DEF54" w14:textId="77777777" w:rsidR="00CB72D4" w:rsidRDefault="00CB72D4"/>
    <w:p w14:paraId="43835962" w14:textId="77777777" w:rsidR="00CB72D4" w:rsidRDefault="00000000">
      <w:r>
        <w:t>Følgende resultater fremlægges:</w:t>
      </w:r>
    </w:p>
    <w:p w14:paraId="2108E5C9" w14:textId="77777777" w:rsidR="00CB72D4" w:rsidRDefault="00CB72D4"/>
    <w:p w14:paraId="6D641A0C" w14:textId="77777777" w:rsidR="00CB72D4" w:rsidRDefault="00000000">
      <w:pPr>
        <w:numPr>
          <w:ilvl w:val="0"/>
          <w:numId w:val="1"/>
        </w:numPr>
      </w:pPr>
      <w:r>
        <w:t>Løfteevne</w:t>
      </w:r>
    </w:p>
    <w:p w14:paraId="344829E2" w14:textId="77777777" w:rsidR="00CB72D4" w:rsidRDefault="00000000">
      <w:pPr>
        <w:numPr>
          <w:ilvl w:val="0"/>
          <w:numId w:val="1"/>
        </w:numPr>
      </w:pPr>
      <w:r>
        <w:t>Karaktergennemsnit generelt og på udvalgte områder, herunder større skriftligt opgaver</w:t>
      </w:r>
    </w:p>
    <w:p w14:paraId="4F7B8FC1" w14:textId="77777777" w:rsidR="00CB72D4" w:rsidRDefault="00000000">
      <w:pPr>
        <w:numPr>
          <w:ilvl w:val="0"/>
          <w:numId w:val="1"/>
        </w:numPr>
      </w:pPr>
      <w:r>
        <w:t>Hovedresultater af ETU</w:t>
      </w:r>
    </w:p>
    <w:p w14:paraId="5246B1FC" w14:textId="77777777" w:rsidR="00CB72D4" w:rsidRDefault="00000000">
      <w:pPr>
        <w:numPr>
          <w:ilvl w:val="0"/>
          <w:numId w:val="1"/>
        </w:numPr>
      </w:pPr>
      <w:r>
        <w:t>Fravær og frafald</w:t>
      </w:r>
    </w:p>
    <w:p w14:paraId="7D26E656" w14:textId="77777777" w:rsidR="00CB72D4" w:rsidRDefault="00000000">
      <w:pPr>
        <w:numPr>
          <w:ilvl w:val="0"/>
          <w:numId w:val="1"/>
        </w:numPr>
      </w:pPr>
      <w:r>
        <w:t>Overgang til videregående uddannelse</w:t>
      </w:r>
    </w:p>
    <w:p w14:paraId="585F709E" w14:textId="54D8206C" w:rsidR="00CB72D4" w:rsidRDefault="00000000">
      <w:pPr>
        <w:numPr>
          <w:ilvl w:val="0"/>
          <w:numId w:val="1"/>
        </w:numPr>
      </w:pPr>
      <w:r>
        <w:t>Evalueringer af aktuelle indsatsområder (fx</w:t>
      </w:r>
      <w:r w:rsidR="002F5C3F">
        <w:t>: ”dannelsesmoduler” og ”studiekreds”)</w:t>
      </w:r>
    </w:p>
    <w:p w14:paraId="60705582" w14:textId="77777777" w:rsidR="00CB72D4" w:rsidRDefault="00CB72D4"/>
    <w:p w14:paraId="508D3C95" w14:textId="77777777" w:rsidR="00CB72D4" w:rsidRDefault="00CB72D4"/>
    <w:p w14:paraId="7B3B89B5" w14:textId="77777777" w:rsidR="00CB72D4" w:rsidRDefault="00CB72D4">
      <w:bookmarkStart w:id="3" w:name="_iq2zl2uyqt2c" w:colFirst="0" w:colLast="0"/>
      <w:bookmarkEnd w:id="3"/>
    </w:p>
    <w:sectPr w:rsidR="00CB72D4">
      <w:pgSz w:w="16834" w:h="11909" w:orient="landscape"/>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6293B"/>
    <w:multiLevelType w:val="multilevel"/>
    <w:tmpl w:val="CDD02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24983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2D4"/>
    <w:rsid w:val="002F5C3F"/>
    <w:rsid w:val="002F6E82"/>
    <w:rsid w:val="003F3748"/>
    <w:rsid w:val="004B41E2"/>
    <w:rsid w:val="00B6738E"/>
    <w:rsid w:val="00B908D3"/>
    <w:rsid w:val="00CB72D4"/>
    <w:rsid w:val="00CD11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7AC1"/>
  <w15:docId w15:val="{54DAC84B-9889-114F-B1C1-4510FF78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8169D-DE0E-7445-A267-C4BE8E0E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731</Words>
  <Characters>4466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Vinter-Thomsen</cp:lastModifiedBy>
  <cp:revision>4</cp:revision>
  <dcterms:created xsi:type="dcterms:W3CDTF">2023-02-06T14:27:00Z</dcterms:created>
  <dcterms:modified xsi:type="dcterms:W3CDTF">2023-02-07T09:20:00Z</dcterms:modified>
</cp:coreProperties>
</file>